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01" w:rsidRPr="00091836" w:rsidRDefault="00D34801" w:rsidP="00D34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D34801" w:rsidRPr="00091836" w:rsidRDefault="00D34801" w:rsidP="00D34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D34801" w:rsidRPr="00091836" w:rsidRDefault="00D34801" w:rsidP="00D34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D34801" w:rsidRPr="00091836" w:rsidRDefault="00D34801" w:rsidP="00D34801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D34801" w:rsidRPr="00091836" w:rsidRDefault="00D34801" w:rsidP="00D34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99471E" w:rsidRPr="00396663" w:rsidRDefault="00396663" w:rsidP="00396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7" o:title=""/>
          </v:shape>
          <o:OLEObject Type="Embed" ProgID="Unknown" ShapeID="_x0000_i1025" DrawAspect="Content" ObjectID="_1691929652" r:id="rId8"/>
        </w:objec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</w:p>
    <w:p w:rsidR="009F5F2E" w:rsidRPr="0057747D" w:rsidRDefault="009F5F2E" w:rsidP="0099471E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71E" w:rsidRPr="0057747D" w:rsidRDefault="0099471E" w:rsidP="0099471E">
      <w:pPr>
        <w:spacing w:after="0" w:line="240" w:lineRule="auto"/>
        <w:ind w:left="1273" w:right="-143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Рабочая программа дисциплины</w:t>
      </w:r>
    </w:p>
    <w:p w:rsidR="0099471E" w:rsidRDefault="0099471E" w:rsidP="0099471E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5F2E" w:rsidRPr="0057747D" w:rsidRDefault="009F5F2E" w:rsidP="0099471E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9471E" w:rsidRDefault="0099471E" w:rsidP="00994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Изучение концертного репертуара</w:t>
      </w:r>
    </w:p>
    <w:p w:rsidR="0099471E" w:rsidRPr="00320896" w:rsidRDefault="0099471E" w:rsidP="00994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9471E" w:rsidRPr="0057747D" w:rsidRDefault="0099471E" w:rsidP="00994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720CA8" w:rsidRPr="00522AF4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720CA8" w:rsidRPr="00DB4A36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720CA8" w:rsidRPr="00522AF4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</w:t>
      </w:r>
    </w:p>
    <w:p w:rsidR="00720CA8" w:rsidRPr="00DB4A36" w:rsidRDefault="00720CA8" w:rsidP="00282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720CA8" w:rsidRPr="00522AF4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720CA8" w:rsidRPr="00DB4A36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D34801" w:rsidRPr="00091836" w:rsidRDefault="00D34801" w:rsidP="00D348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="00720F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заочная</w:t>
      </w:r>
    </w:p>
    <w:p w:rsidR="00720CA8" w:rsidRPr="00522AF4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720CA8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720CA8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0CA8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0F03" w:rsidRDefault="00720F03" w:rsidP="00720C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0CA8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0CA8" w:rsidRDefault="00720CA8" w:rsidP="00720CA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1E" w:rsidRDefault="00720CA8" w:rsidP="00720C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  <w:r w:rsidR="003966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</w:p>
    <w:p w:rsidR="0099471E" w:rsidRPr="00D34801" w:rsidRDefault="0099471E" w:rsidP="00D348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480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1.Цель и задачи изучения дисциплины</w:t>
      </w:r>
    </w:p>
    <w:p w:rsidR="0099471E" w:rsidRPr="00D34801" w:rsidRDefault="0099471E" w:rsidP="00D348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801">
        <w:rPr>
          <w:rFonts w:ascii="Times New Roman" w:hAnsi="Times New Roman" w:cs="Times New Roman"/>
          <w:bCs/>
          <w:sz w:val="24"/>
          <w:szCs w:val="24"/>
        </w:rPr>
        <w:t>Цели дисциплины «Изучение концертного репертуара» - подготовка</w:t>
      </w:r>
      <w:r w:rsidR="00720CA8" w:rsidRPr="00D34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bCs/>
          <w:sz w:val="24"/>
          <w:szCs w:val="24"/>
        </w:rPr>
        <w:t>высококвалифицированных профессиональных музыкантов для работы в</w:t>
      </w:r>
      <w:r w:rsidR="00720CA8" w:rsidRPr="00D34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bCs/>
          <w:sz w:val="24"/>
          <w:szCs w:val="24"/>
        </w:rPr>
        <w:t>качестве концертных исполнителей, формирование комплексных знаний в</w:t>
      </w:r>
      <w:r w:rsidR="00720CA8" w:rsidRPr="00D34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bCs/>
          <w:sz w:val="24"/>
          <w:szCs w:val="24"/>
        </w:rPr>
        <w:t>области современной фортепианной музыки, практическое освоение</w:t>
      </w:r>
      <w:r w:rsidR="00FD389F" w:rsidRPr="00D34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bCs/>
          <w:sz w:val="24"/>
          <w:szCs w:val="24"/>
        </w:rPr>
        <w:t>фортепианного репертуара композиторов разных эпох, концертно-</w:t>
      </w:r>
      <w:r w:rsidR="00FD389F" w:rsidRPr="00D34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bCs/>
          <w:sz w:val="24"/>
          <w:szCs w:val="24"/>
        </w:rPr>
        <w:t>просветительская деятельность.</w:t>
      </w:r>
    </w:p>
    <w:p w:rsidR="00720CA8" w:rsidRPr="00D34801" w:rsidRDefault="00720CA8" w:rsidP="00D348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71E" w:rsidRPr="00D34801" w:rsidRDefault="0099471E" w:rsidP="00D34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4801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99471E" w:rsidRPr="00D34801" w:rsidRDefault="0099471E" w:rsidP="00D348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8F604A" w:rsidRPr="00D34801" w:rsidRDefault="008F604A" w:rsidP="00D348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музыкально-исполнительскую деятельность сольно и в составе профессионал</w:t>
      </w:r>
      <w:r w:rsidR="002A3244"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творческих коллективов (ПК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-1);</w:t>
      </w:r>
    </w:p>
    <w:p w:rsidR="008F604A" w:rsidRPr="00D34801" w:rsidRDefault="008F604A" w:rsidP="00D348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</w:t>
      </w:r>
      <w:r w:rsidR="002A3244"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музыкальных произведений (ПК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-2).</w:t>
      </w:r>
    </w:p>
    <w:p w:rsidR="002A3244" w:rsidRPr="00D34801" w:rsidRDefault="002A3244" w:rsidP="00D348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способность организовывать культурно-просветительские проекты в области музыкального искусства на различных сценических площадках и участвовать в их реализации в качестве исполнителя (ПК-6)</w:t>
      </w:r>
    </w:p>
    <w:p w:rsidR="008F604A" w:rsidRPr="00D34801" w:rsidRDefault="008F604A" w:rsidP="00D34801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E8" w:rsidRPr="00D34801" w:rsidRDefault="000A77E8" w:rsidP="00D34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Место дисциплины в структуре О</w:t>
      </w:r>
      <w:r w:rsidR="00A67F5C" w:rsidRPr="00D3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D34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 </w:t>
      </w:r>
    </w:p>
    <w:p w:rsidR="000A77E8" w:rsidRPr="00D34801" w:rsidRDefault="00877E73" w:rsidP="00D348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Блок 1.</w:t>
      </w:r>
      <w:r w:rsidR="00575A2E" w:rsidRPr="00D34801">
        <w:rPr>
          <w:rFonts w:ascii="Times New Roman" w:hAnsi="Times New Roman" w:cs="Times New Roman"/>
          <w:sz w:val="24"/>
          <w:szCs w:val="24"/>
        </w:rPr>
        <w:t xml:space="preserve"> Обязательная часть.</w:t>
      </w:r>
      <w:r w:rsidRPr="00D34801">
        <w:rPr>
          <w:rFonts w:ascii="Times New Roman" w:hAnsi="Times New Roman" w:cs="Times New Roman"/>
          <w:sz w:val="24"/>
          <w:szCs w:val="24"/>
        </w:rPr>
        <w:t xml:space="preserve"> </w:t>
      </w:r>
      <w:r w:rsidR="000A77E8" w:rsidRPr="00D34801">
        <w:rPr>
          <w:rFonts w:ascii="Times New Roman" w:hAnsi="Times New Roman" w:cs="Times New Roman"/>
          <w:i/>
          <w:sz w:val="24"/>
          <w:szCs w:val="24"/>
        </w:rPr>
        <w:t>Дисциплин</w:t>
      </w:r>
      <w:r w:rsidRPr="00D34801">
        <w:rPr>
          <w:rFonts w:ascii="Times New Roman" w:hAnsi="Times New Roman" w:cs="Times New Roman"/>
          <w:i/>
          <w:sz w:val="24"/>
          <w:szCs w:val="24"/>
        </w:rPr>
        <w:t>ы</w:t>
      </w:r>
      <w:r w:rsidR="000A77E8" w:rsidRPr="00D34801">
        <w:rPr>
          <w:rFonts w:ascii="Times New Roman" w:hAnsi="Times New Roman" w:cs="Times New Roman"/>
          <w:i/>
          <w:sz w:val="24"/>
          <w:szCs w:val="24"/>
        </w:rPr>
        <w:t xml:space="preserve"> по выбору </w:t>
      </w:r>
      <w:r w:rsidRPr="00D34801">
        <w:rPr>
          <w:rFonts w:ascii="Times New Roman" w:hAnsi="Times New Roman" w:cs="Times New Roman"/>
          <w:i/>
          <w:sz w:val="24"/>
          <w:szCs w:val="24"/>
        </w:rPr>
        <w:t>студентов</w:t>
      </w:r>
      <w:r w:rsidR="00CB670C" w:rsidRPr="00D34801">
        <w:rPr>
          <w:rFonts w:ascii="Times New Roman" w:hAnsi="Times New Roman" w:cs="Times New Roman"/>
          <w:sz w:val="24"/>
          <w:szCs w:val="24"/>
        </w:rPr>
        <w:t>. Б1.В.В.01</w:t>
      </w:r>
      <w:r w:rsidRPr="00D34801">
        <w:rPr>
          <w:rFonts w:ascii="Times New Roman" w:hAnsi="Times New Roman" w:cs="Times New Roman"/>
          <w:sz w:val="24"/>
          <w:szCs w:val="24"/>
        </w:rPr>
        <w:t xml:space="preserve">.  </w:t>
      </w:r>
      <w:r w:rsidR="000A77E8" w:rsidRPr="00D34801">
        <w:rPr>
          <w:rFonts w:ascii="Times New Roman" w:hAnsi="Times New Roman" w:cs="Times New Roman"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sz w:val="24"/>
          <w:szCs w:val="24"/>
        </w:rPr>
        <w:t>С</w:t>
      </w:r>
      <w:r w:rsidR="000A77E8" w:rsidRPr="00D34801">
        <w:rPr>
          <w:rFonts w:ascii="Times New Roman" w:hAnsi="Times New Roman" w:cs="Times New Roman"/>
          <w:sz w:val="24"/>
          <w:szCs w:val="24"/>
        </w:rPr>
        <w:t>троится по принципу работы преподавателя со студентом над сольным репертуаром в режиме индивидуальных занятий.</w:t>
      </w:r>
    </w:p>
    <w:p w:rsidR="000A77E8" w:rsidRPr="00D34801" w:rsidRDefault="000A77E8" w:rsidP="00D348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471E" w:rsidRPr="00D34801" w:rsidRDefault="00275FE1" w:rsidP="00D34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480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9471E" w:rsidRPr="00D34801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99471E" w:rsidRPr="00D34801" w:rsidRDefault="0099471E" w:rsidP="00D3480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99471E" w:rsidRPr="00D34801" w:rsidRDefault="0099471E" w:rsidP="00D34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D34801">
        <w:rPr>
          <w:rFonts w:ascii="Times New Roman" w:hAnsi="Times New Roman" w:cs="Times New Roman"/>
          <w:sz w:val="24"/>
          <w:szCs w:val="24"/>
        </w:rPr>
        <w:t>объект и содержание концертного фортепианного репертуара, ее</w:t>
      </w:r>
      <w:r w:rsidR="00FD389F" w:rsidRPr="00D34801">
        <w:rPr>
          <w:rFonts w:ascii="Times New Roman" w:hAnsi="Times New Roman" w:cs="Times New Roman"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sz w:val="24"/>
          <w:szCs w:val="24"/>
        </w:rPr>
        <w:t>взаимосвязь с другими отраслями научных знаний, методологию педагогической и исполнительской работы над фортепианным репертуаром, историю фортепианного искусства, основные компоненты музыкального языка, и использовать эти знания в целях грамотного и выразительного прочтения нотного текста, принципы работы над музыкальным произведением и задачи репетиционного процесса;</w:t>
      </w:r>
    </w:p>
    <w:p w:rsidR="0099471E" w:rsidRPr="00D34801" w:rsidRDefault="0099471E" w:rsidP="00D34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b/>
          <w:sz w:val="24"/>
          <w:szCs w:val="24"/>
        </w:rPr>
        <w:t>уметь</w:t>
      </w:r>
      <w:r w:rsidRPr="00D34801">
        <w:rPr>
          <w:rFonts w:ascii="Times New Roman" w:hAnsi="Times New Roman" w:cs="Times New Roman"/>
          <w:sz w:val="24"/>
          <w:szCs w:val="24"/>
        </w:rPr>
        <w:t xml:space="preserve"> ориентироваться в композиторских стилях, жанрах и формах в историческом аспекте, оперировать основными знаниями в области теории и</w:t>
      </w:r>
    </w:p>
    <w:p w:rsidR="0099471E" w:rsidRPr="00D34801" w:rsidRDefault="0099471E" w:rsidP="00D34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истории отечественной и зарубежной фортепианной музыки, применять основные методологические принципы академических школ и современных</w:t>
      </w:r>
    </w:p>
    <w:p w:rsidR="0099471E" w:rsidRPr="00D34801" w:rsidRDefault="0099471E" w:rsidP="00D34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направлений при изучении и исполнении фортепианного репертуара, анализировать и осмысливать их с учетом современных научных данных, составлять стройную концертную программу, осуществлять концертные исполнения;</w:t>
      </w:r>
    </w:p>
    <w:p w:rsidR="0099471E" w:rsidRPr="00D34801" w:rsidRDefault="0099471E" w:rsidP="00D34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34801">
        <w:rPr>
          <w:rFonts w:ascii="Times New Roman" w:hAnsi="Times New Roman" w:cs="Times New Roman"/>
          <w:sz w:val="24"/>
          <w:szCs w:val="24"/>
        </w:rPr>
        <w:t xml:space="preserve"> способностью демонстрировать умение озвучивать нотный текст, содержащий приемы современной нотации, способностью демонстрировать тонкое ощущение регистровки, тембров и динамического</w:t>
      </w:r>
      <w:r w:rsidR="00FD389F" w:rsidRPr="00D34801">
        <w:rPr>
          <w:rFonts w:ascii="Times New Roman" w:hAnsi="Times New Roman" w:cs="Times New Roman"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sz w:val="24"/>
          <w:szCs w:val="24"/>
        </w:rPr>
        <w:t>колорирования, способностью самостоятельно овладевать сложными в исторических стилях, составлять концертные программы из произведений различных стилей. Овладевать приёмами построения концертных программ, учитывая жанровые, стилистические особенности композиторского мышления композиторов различных эпох, выстраивать программы концертов и конкурсных выступлений, учитывая особенность присутствующей на концерте аудитории, расставлять в программах динамические акценты и выстраивать кульминации в программах.</w:t>
      </w:r>
    </w:p>
    <w:p w:rsidR="0099471E" w:rsidRPr="00D34801" w:rsidRDefault="0099471E" w:rsidP="00D3480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20CA8" w:rsidRPr="00D34801" w:rsidRDefault="00275FE1" w:rsidP="00D3480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801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99471E" w:rsidRPr="00D348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720CA8" w:rsidRPr="00D34801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99471E" w:rsidRPr="00D34801" w:rsidRDefault="0099471E" w:rsidP="00D348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801">
        <w:rPr>
          <w:rFonts w:ascii="Times New Roman" w:hAnsi="Times New Roman" w:cs="Times New Roman"/>
          <w:bCs/>
          <w:sz w:val="24"/>
          <w:szCs w:val="24"/>
        </w:rPr>
        <w:t xml:space="preserve">Общая трудоемкость дисциплины </w:t>
      </w:r>
      <w:r w:rsidR="00877E73" w:rsidRPr="00D34801">
        <w:rPr>
          <w:rFonts w:ascii="Times New Roman" w:hAnsi="Times New Roman" w:cs="Times New Roman"/>
          <w:bCs/>
          <w:sz w:val="24"/>
          <w:szCs w:val="24"/>
        </w:rPr>
        <w:t>составляет 3</w:t>
      </w:r>
      <w:r w:rsidRPr="00D34801">
        <w:rPr>
          <w:rFonts w:ascii="Times New Roman" w:hAnsi="Times New Roman" w:cs="Times New Roman"/>
          <w:bCs/>
          <w:sz w:val="24"/>
          <w:szCs w:val="24"/>
        </w:rPr>
        <w:t xml:space="preserve"> зачетных единиц (</w:t>
      </w:r>
      <w:r w:rsidR="00877E73" w:rsidRPr="00D34801">
        <w:rPr>
          <w:rFonts w:ascii="Times New Roman" w:hAnsi="Times New Roman" w:cs="Times New Roman"/>
          <w:bCs/>
          <w:sz w:val="24"/>
          <w:szCs w:val="24"/>
        </w:rPr>
        <w:t>108 часов</w:t>
      </w:r>
      <w:r w:rsidRPr="00D34801">
        <w:rPr>
          <w:rFonts w:ascii="Times New Roman" w:hAnsi="Times New Roman" w:cs="Times New Roman"/>
          <w:bCs/>
          <w:sz w:val="24"/>
          <w:szCs w:val="24"/>
        </w:rPr>
        <w:t>), и</w:t>
      </w:r>
      <w:r w:rsidR="00FD389F" w:rsidRPr="00D34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bCs/>
          <w:sz w:val="24"/>
          <w:szCs w:val="24"/>
        </w:rPr>
        <w:t xml:space="preserve">включает в себя аудиторную (учебную) работу – индивидуальные занятия с </w:t>
      </w:r>
      <w:r w:rsidRPr="00D348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преподавателем – </w:t>
      </w:r>
      <w:r w:rsidR="003B0174">
        <w:rPr>
          <w:rFonts w:ascii="Times New Roman" w:hAnsi="Times New Roman" w:cs="Times New Roman"/>
          <w:bCs/>
          <w:sz w:val="24"/>
          <w:szCs w:val="24"/>
        </w:rPr>
        <w:t>10</w:t>
      </w:r>
      <w:r w:rsidR="00BA2802" w:rsidRPr="00D34801">
        <w:rPr>
          <w:rFonts w:ascii="Times New Roman" w:hAnsi="Times New Roman" w:cs="Times New Roman"/>
          <w:bCs/>
          <w:sz w:val="24"/>
          <w:szCs w:val="24"/>
        </w:rPr>
        <w:t xml:space="preserve"> ча</w:t>
      </w:r>
      <w:r w:rsidR="003B0174">
        <w:rPr>
          <w:rFonts w:ascii="Times New Roman" w:hAnsi="Times New Roman" w:cs="Times New Roman"/>
          <w:bCs/>
          <w:sz w:val="24"/>
          <w:szCs w:val="24"/>
        </w:rPr>
        <w:t>сов (самостоятельная работа – 98 часов</w:t>
      </w:r>
      <w:r w:rsidR="00BA2802" w:rsidRPr="00D34801">
        <w:rPr>
          <w:rFonts w:ascii="Times New Roman" w:hAnsi="Times New Roman" w:cs="Times New Roman"/>
          <w:bCs/>
          <w:sz w:val="24"/>
          <w:szCs w:val="24"/>
        </w:rPr>
        <w:t>)</w:t>
      </w:r>
      <w:r w:rsidRPr="00D34801">
        <w:rPr>
          <w:rFonts w:ascii="Times New Roman" w:hAnsi="Times New Roman" w:cs="Times New Roman"/>
          <w:bCs/>
          <w:sz w:val="24"/>
          <w:szCs w:val="24"/>
        </w:rPr>
        <w:t>, а также виды текущей и промежуточной аттестации. Дисциплина ведется в течение двух семестров первого года обучения.</w:t>
      </w:r>
      <w:r w:rsidR="001E65E9" w:rsidRPr="00D34801">
        <w:rPr>
          <w:rFonts w:ascii="Times New Roman" w:hAnsi="Times New Roman" w:cs="Times New Roman"/>
          <w:bCs/>
          <w:sz w:val="24"/>
          <w:szCs w:val="24"/>
        </w:rPr>
        <w:t xml:space="preserve"> По окончании – зачет.</w:t>
      </w:r>
    </w:p>
    <w:p w:rsidR="0099471E" w:rsidRPr="00D34801" w:rsidRDefault="0099471E" w:rsidP="00D348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71E" w:rsidRPr="00D34801" w:rsidRDefault="00275FE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99471E"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720CA8"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4B7D78" w:rsidRPr="00D34801" w:rsidRDefault="004B7D78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Глубокое изучение репертуара  пианиста включает в себя знание произведений разных эпох, жанров и стилей, в том числе</w:t>
      </w:r>
      <w:r w:rsidR="00FD389F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сочинений крупной формы, виртуозных произведений, сочинений</w:t>
      </w:r>
      <w:r w:rsidR="00D82C90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малых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форм, наиболее часто исполняемых на концертных площадках. Поскольку это значительный пласт фортепианной литературы необходима непосредственная связь этих знаний со сведениями из  истории фортепианного искусства, основных компонентов музыкального языка.</w:t>
      </w:r>
    </w:p>
    <w:p w:rsidR="004B7D78" w:rsidRPr="00D34801" w:rsidRDefault="004B7D78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более изучение примеров различных сольных программ фортепианных концертов (монографические концерты, концерты из фортепианных произведений разных стилей, тематические концерты и т.д.);</w:t>
      </w:r>
    </w:p>
    <w:p w:rsidR="004B7D78" w:rsidRPr="00D34801" w:rsidRDefault="004B7D78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 на богатейшем опыте</w:t>
      </w:r>
      <w:r w:rsidR="00D82C90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фортепианного исполнительского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 студент учится анализировать особенности стиля, формы и содержания фортепианных произведений, проводить сравнительный анализ</w:t>
      </w:r>
    </w:p>
    <w:p w:rsidR="004B7D78" w:rsidRPr="00D34801" w:rsidRDefault="004B7D78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исполнительских интерпретаций.</w:t>
      </w:r>
      <w:r w:rsidR="00FD389F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концертного  фортепианного репертуара базируется на сочетании принципов академических школ и современных направлений.  Анализировать и осмысливать их с учетом современных научных данных входит в содержание дисциплины.</w:t>
      </w:r>
    </w:p>
    <w:p w:rsidR="00D82C90" w:rsidRPr="00D34801" w:rsidRDefault="004B7D78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составления</w:t>
      </w:r>
      <w:r w:rsidR="00FD389F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90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сольных концертных программ способствует</w:t>
      </w:r>
      <w:r w:rsidR="00FD389F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90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активному участию в области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D82C90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работа ведется над способностью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</w:t>
      </w:r>
      <w:r w:rsidR="00D82C90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остоятельно овладевать сложными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фортепианными сочинениями различных с</w:t>
      </w:r>
      <w:r w:rsidR="00D82C90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тилей, способностью разбираться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исторических стилях, составлять конце</w:t>
      </w:r>
      <w:r w:rsidR="00FD389F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ртные программы из обширного фонда классической фортепианной литературы.</w:t>
      </w:r>
    </w:p>
    <w:p w:rsidR="007F1209" w:rsidRPr="00282F59" w:rsidRDefault="00D82C90" w:rsidP="00282F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="004B7D7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приёмами построения сольных концертных программ,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B7D7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етом</w:t>
      </w:r>
      <w:r w:rsidR="004B7D7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анровых, стилистических особенностей</w:t>
      </w:r>
      <w:r w:rsidR="004B7D7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иторского мышления композиторов различных эпох, выстраивания</w:t>
      </w:r>
      <w:r w:rsidR="004B7D7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концертов и конкурсных выступлений.</w:t>
      </w:r>
    </w:p>
    <w:p w:rsidR="007F1209" w:rsidRPr="00D34801" w:rsidRDefault="007F1209" w:rsidP="00D348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CF67F9" w:rsidRDefault="007F1209" w:rsidP="00D348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Заочная форма</w:t>
      </w:r>
    </w:p>
    <w:p w:rsidR="00282F59" w:rsidRPr="00D34801" w:rsidRDefault="00282F59" w:rsidP="00D348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850"/>
        <w:gridCol w:w="1559"/>
        <w:gridCol w:w="1701"/>
        <w:gridCol w:w="2694"/>
      </w:tblGrid>
      <w:tr w:rsidR="00CF67F9" w:rsidRPr="00D34801" w:rsidTr="00D34801">
        <w:trPr>
          <w:cantSplit/>
          <w:trHeight w:val="1312"/>
          <w:jc w:val="center"/>
        </w:trPr>
        <w:tc>
          <w:tcPr>
            <w:tcW w:w="709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tcMar>
              <w:top w:w="28" w:type="dxa"/>
              <w:left w:w="17" w:type="dxa"/>
              <w:right w:w="17" w:type="dxa"/>
            </w:tcMar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50" w:type="dxa"/>
            <w:textDirection w:val="btLr"/>
          </w:tcPr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260" w:type="dxa"/>
            <w:gridSpan w:val="2"/>
          </w:tcPr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D348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CF67F9" w:rsidRPr="00D34801" w:rsidTr="00D34801">
        <w:trPr>
          <w:cantSplit/>
          <w:trHeight w:val="487"/>
          <w:jc w:val="center"/>
        </w:trPr>
        <w:tc>
          <w:tcPr>
            <w:tcW w:w="709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17" w:type="dxa"/>
              <w:right w:w="17" w:type="dxa"/>
            </w:tcMar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концертного</w:t>
            </w:r>
          </w:p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репертуара</w:t>
            </w:r>
          </w:p>
        </w:tc>
        <w:tc>
          <w:tcPr>
            <w:tcW w:w="850" w:type="dxa"/>
            <w:textDirection w:val="btLr"/>
          </w:tcPr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1701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Самостоя-тельные</w:t>
            </w:r>
          </w:p>
        </w:tc>
        <w:tc>
          <w:tcPr>
            <w:tcW w:w="2694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9" w:rsidRPr="00D34801" w:rsidTr="00D34801">
        <w:trPr>
          <w:jc w:val="center"/>
        </w:trPr>
        <w:tc>
          <w:tcPr>
            <w:tcW w:w="709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F67F9" w:rsidRPr="00D34801" w:rsidRDefault="002A3244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F67F9" w:rsidRPr="00D34801" w:rsidRDefault="002A3244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F9" w:rsidRPr="00D34801" w:rsidTr="00D34801">
        <w:trPr>
          <w:jc w:val="center"/>
        </w:trPr>
        <w:tc>
          <w:tcPr>
            <w:tcW w:w="709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F67F9" w:rsidRPr="00D34801" w:rsidRDefault="002A3244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F67F9" w:rsidRPr="00D34801" w:rsidRDefault="002A3244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</w:tcPr>
          <w:p w:rsidR="00CF67F9" w:rsidRPr="00D34801" w:rsidRDefault="00877E73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F67F9" w:rsidRPr="00D34801" w:rsidTr="00D34801">
        <w:trPr>
          <w:jc w:val="center"/>
        </w:trPr>
        <w:tc>
          <w:tcPr>
            <w:tcW w:w="709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67F9" w:rsidRPr="00D34801" w:rsidRDefault="00BA2802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108 часов</w:t>
            </w:r>
          </w:p>
        </w:tc>
        <w:tc>
          <w:tcPr>
            <w:tcW w:w="850" w:type="dxa"/>
          </w:tcPr>
          <w:p w:rsidR="00CF67F9" w:rsidRPr="00D34801" w:rsidRDefault="00CF67F9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67F9" w:rsidRPr="00D34801" w:rsidRDefault="002A3244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F67F9" w:rsidRPr="00D34801" w:rsidRDefault="002A3244" w:rsidP="00D34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4" w:type="dxa"/>
          </w:tcPr>
          <w:p w:rsidR="00CF67F9" w:rsidRPr="00D34801" w:rsidRDefault="002A3244" w:rsidP="00D34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ПК-1,2,6</w:t>
            </w:r>
          </w:p>
        </w:tc>
      </w:tr>
    </w:tbl>
    <w:p w:rsidR="005234E8" w:rsidRPr="00D34801" w:rsidRDefault="005234E8" w:rsidP="00D34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FE1" w:rsidRPr="00D34801" w:rsidRDefault="00275FE1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720CA8" w:rsidRPr="00D3480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 текущего контроля успеваемости (промежуточной аттестации) при освоении дисциплины</w:t>
      </w:r>
    </w:p>
    <w:p w:rsidR="00275FE1" w:rsidRPr="00D34801" w:rsidRDefault="00A265FD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275FE1"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целью  дать  возможность обучающемуся  проявить  свои исполнительские  и  аналитические качества. Оценочная стратегия выстраивается  из   двух компонентов:</w:t>
      </w:r>
    </w:p>
    <w:p w:rsidR="00275FE1" w:rsidRPr="00D34801" w:rsidRDefault="00275FE1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Успешное воплощение в реальном звучании прочитанного  и освоенного  нотного текста, т.е. воссоздание художественного образа музыкального произведения  в соответствии с  замыслом  композитора;</w:t>
      </w:r>
    </w:p>
    <w:p w:rsidR="00275FE1" w:rsidRPr="00D34801" w:rsidRDefault="00275FE1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     Рецензирование, анализ  исполненных  произведений.  Оценочная  шкала: </w:t>
      </w:r>
    </w:p>
    <w:p w:rsidR="00275FE1" w:rsidRPr="00D34801" w:rsidRDefault="00275FE1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Отлично »-   исполнение  музыкального   произведения уверенно  с технической  и  художественной точек  зрения. Убедительная демонстрация  понимания всего  комплекса  исполнительских  задач,  владение  и понимание  современного  музыкального  языка,  грамотное  применение   композиторских  приёмов  и новаций. </w:t>
      </w:r>
    </w:p>
    <w:p w:rsidR="00275FE1" w:rsidRPr="00D34801" w:rsidRDefault="00275FE1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Хорошо»-  безошибочное,  но тусклое исполнение  музыкального  произведения;</w:t>
      </w:r>
    </w:p>
    <w:p w:rsidR="00275FE1" w:rsidRPr="00D34801" w:rsidRDefault="00275FE1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 Удовлетворительно»  - « аварийное», но с признаками  некоторого  понимания  задач  исполнения и рецензирования;</w:t>
      </w:r>
    </w:p>
    <w:p w:rsidR="00275FE1" w:rsidRPr="00D34801" w:rsidRDefault="00275FE1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Неудовлетворительно»  -  отсутствие  основополагающих  знаний.</w:t>
      </w:r>
    </w:p>
    <w:p w:rsidR="00275FE1" w:rsidRPr="00D34801" w:rsidRDefault="00275FE1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курса дисциплины «Изучение концертного  репертуар</w:t>
      </w:r>
      <w:r w:rsidR="00A219D0"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студент должен а) владеть информацией об – основных исторических условиях, периода; - главных стилистических направлениях; - новых приемах композиторской техникой; - новых возможностях фортепиано. б) уметь исполнить 1-2 сочинения композиторов второй половины ХХ века, одно из которых должно быть представлено отечественной фортепианной музыкой. Этот раздел работы студент проходит под руководством педагога.</w:t>
      </w:r>
    </w:p>
    <w:p w:rsidR="00275FE1" w:rsidRPr="00D34801" w:rsidRDefault="00275FE1" w:rsidP="00D34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1E" w:rsidRPr="00D34801" w:rsidRDefault="00A219D0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99471E"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обеспечение и информационное обеспечение дисциплины.</w:t>
      </w:r>
    </w:p>
    <w:p w:rsidR="008A3AF6" w:rsidRPr="00D34801" w:rsidRDefault="008A3AF6" w:rsidP="00D348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Поскольку бОльшая часть, отведенных на изучение  дисциплины часов приходится на самостоятельную работу, важнейшим фактором обеспечения магистранта становится его умение работать с нотным и звуковым материалом. Обогащение</w:t>
      </w:r>
      <w:r w:rsidR="002E4F9B" w:rsidRPr="00D34801">
        <w:rPr>
          <w:rFonts w:ascii="Times New Roman" w:hAnsi="Times New Roman" w:cs="Times New Roman"/>
          <w:sz w:val="24"/>
          <w:szCs w:val="24"/>
        </w:rPr>
        <w:t xml:space="preserve"> </w:t>
      </w:r>
      <w:r w:rsidRPr="00D34801">
        <w:rPr>
          <w:rFonts w:ascii="Times New Roman" w:hAnsi="Times New Roman" w:cs="Times New Roman"/>
          <w:sz w:val="24"/>
          <w:szCs w:val="24"/>
        </w:rPr>
        <w:t>концертногорепертуара новыми современными произведениями, изучение специальной нотной литературы, развитиеи расширение слуховых представлений и впечатлений происходит путем знакомства с обширной  печатной литературой и записями концертных выступлений, выложенных в сети Интернет, в частности.</w:t>
      </w:r>
    </w:p>
    <w:p w:rsidR="008A3AF6" w:rsidRPr="00D34801" w:rsidRDefault="008A3AF6" w:rsidP="00D348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Для совершенствования  исполнительских навыков в исполнении концертного репертуа</w:t>
      </w:r>
      <w:r w:rsidR="002E4F9B" w:rsidRPr="00D34801">
        <w:rPr>
          <w:rFonts w:ascii="Times New Roman" w:hAnsi="Times New Roman" w:cs="Times New Roman"/>
          <w:sz w:val="24"/>
          <w:szCs w:val="24"/>
        </w:rPr>
        <w:t>ра, необходим доступ к наибольше</w:t>
      </w:r>
      <w:r w:rsidRPr="00D34801">
        <w:rPr>
          <w:rFonts w:ascii="Times New Roman" w:hAnsi="Times New Roman" w:cs="Times New Roman"/>
          <w:sz w:val="24"/>
          <w:szCs w:val="24"/>
        </w:rPr>
        <w:t>му количеству образцов фортепианной музыки различных направлений. Знакомство может ограничиваться чтением с листа, а также быть избран ансамблевый вид музицирования. Чем свободнее будет студент обращаться с незнакомым по стилистике, нотной записи и смысловому контексту произведением, тем шире его представления фортепианном наследии в целом.</w:t>
      </w:r>
    </w:p>
    <w:p w:rsidR="00E21EDC" w:rsidRPr="00D34801" w:rsidRDefault="008A3AF6" w:rsidP="00D348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Основные же произведения концертного  репертуара, наиболее часто встречающиеся в исполнительских программах, должны быть изучены на слух.</w:t>
      </w:r>
    </w:p>
    <w:p w:rsidR="00CF67F9" w:rsidRPr="00D34801" w:rsidRDefault="00CF67F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1E" w:rsidRPr="00D34801" w:rsidRDefault="00A219D0" w:rsidP="00D348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D34801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99471E" w:rsidRPr="00D34801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99471E" w:rsidRPr="00D34801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99471E" w:rsidRPr="00D34801" w:rsidRDefault="0099471E" w:rsidP="00D34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99471E" w:rsidRPr="00D34801" w:rsidRDefault="0099471E" w:rsidP="00D34801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99471E" w:rsidRPr="00D34801" w:rsidRDefault="0099471E" w:rsidP="00D34801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9471E" w:rsidRPr="00D34801" w:rsidRDefault="0099471E" w:rsidP="00D34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01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2A3244" w:rsidRPr="00D34801">
        <w:rPr>
          <w:rFonts w:ascii="Times New Roman" w:eastAsia="Calibri" w:hAnsi="Times New Roman" w:cs="Times New Roman"/>
          <w:sz w:val="24"/>
          <w:szCs w:val="24"/>
        </w:rPr>
        <w:t>87320</w:t>
      </w:r>
      <w:r w:rsidRPr="00D34801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99471E" w:rsidRPr="00D34801" w:rsidRDefault="0099471E" w:rsidP="00D348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Фонотека, видеотека располагающая записями классического музыкального, как зарубежного, так и отечественного, наследия.  Аудиоматериал в количестве</w:t>
      </w:r>
      <w:r w:rsidR="002A3244"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4058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C975F1" w:rsidRPr="00D34801" w:rsidRDefault="00C975F1" w:rsidP="00D34801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C975F1" w:rsidRPr="00D34801" w:rsidRDefault="00C975F1" w:rsidP="00D34801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8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C975F1" w:rsidRPr="00D34801" w:rsidRDefault="00C975F1" w:rsidP="00D34801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C975F1" w:rsidRPr="00D34801" w:rsidRDefault="00C975F1" w:rsidP="00D34801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99471E" w:rsidRPr="00D34801" w:rsidRDefault="0099471E" w:rsidP="00D34801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71E" w:rsidRPr="00D34801" w:rsidRDefault="00A219D0" w:rsidP="00D3480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48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10</w:t>
      </w:r>
      <w:r w:rsidR="0099471E" w:rsidRPr="00D348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9471E" w:rsidRPr="00D34801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E21EDC" w:rsidRPr="00D34801" w:rsidRDefault="00E21EDC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Важнейшая задача педагога – всес</w:t>
      </w: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тороннее и гармоничное развитие личности студента, его интеллектуального и творческого потенциала, раскрытие таланта ученика, бережное отношение к его индивидуальности.</w:t>
      </w:r>
    </w:p>
    <w:p w:rsidR="00E21EDC" w:rsidRPr="00D34801" w:rsidRDefault="00E21EDC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студентом содержания исполняемых произведений невозможно без знания музыки и литературы, живописи и архитектуры, философии, истории культуры и религий. </w:t>
      </w:r>
    </w:p>
    <w:p w:rsidR="00E21EDC" w:rsidRPr="00D34801" w:rsidRDefault="00E21EDC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– научить студента самостоятельно определять художественные цели и находить исполнительские средства для их достижения. Ясное понимание содержания и формы исполняемого произведения, разнообразие и выразительность звука, живая и естественная фразировка, интонация, ясная и осмысленная артикуляция, искусство педализации – все эти исполнительские задачи молодой исполнитель учится под руководством педагога решать самостоятельно.</w:t>
      </w:r>
    </w:p>
    <w:p w:rsidR="00E21EDC" w:rsidRPr="00D34801" w:rsidRDefault="00E21EDC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выразительных средств неотделим от понимания стиля, образной сферы и музыкального языка современных композиторов.</w:t>
      </w:r>
    </w:p>
    <w:p w:rsidR="00E21EDC" w:rsidRPr="00D34801" w:rsidRDefault="00E21EDC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факторы: исполнительский слух (слуховое представление и контроль), ритм («чувство времени», дирижерская воля), все виды памяти, образное и логическое мышление, артистизм, концентрация внимания.</w:t>
      </w:r>
    </w:p>
    <w:p w:rsidR="00E21EDC" w:rsidRPr="00D34801" w:rsidRDefault="00E21EDC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желательно чрезмерное форсирование сложности репертуара. </w:t>
      </w:r>
    </w:p>
    <w:p w:rsidR="00BA2802" w:rsidRPr="00D34801" w:rsidRDefault="00BA2802" w:rsidP="00D34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1EDC" w:rsidRPr="00D34801" w:rsidRDefault="00A219D0" w:rsidP="00D34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480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E21EDC" w:rsidRPr="00D34801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E21EDC" w:rsidRPr="00D34801" w:rsidRDefault="00E21EDC" w:rsidP="00D348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над освоением концертного репертуара студент должен понимать, что освоение любого музыкального языка во многом зависит от его (студента) общей интеллектуальной оснащенности, слуховых представлений, и понимания закономерностей развития музыкальной культуры в целом, и фортепианной в частности. В рабочий режим занятий должны быть включены ознакомление с новинками критической и монографической литературы, прослушивание записей музыки. При подходе к исполнению надо помнить, что утверждение неординарных приемов игры произошло на основе традиционных технических приемов пианизма и их органичном взаимодействии. Только  через практику постоянного изучения музыки лежит путь к ее пониманию, пропаганде и утверждению на концертной эстраде.</w:t>
      </w:r>
    </w:p>
    <w:p w:rsidR="002E4F9B" w:rsidRDefault="002E4F9B" w:rsidP="00D3480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34801" w:rsidRPr="00D34801" w:rsidRDefault="00D34801" w:rsidP="00D3480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5322A" w:rsidRDefault="00A219D0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99471E"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.Перечень учебной литературы</w:t>
      </w:r>
    </w:p>
    <w:p w:rsidR="00D34801" w:rsidRPr="00D34801" w:rsidRDefault="00D34801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322A" w:rsidRPr="00D34801" w:rsidRDefault="00D34801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а) </w:t>
      </w:r>
      <w:r w:rsidR="00D5322A"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методическая литература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Вольф К,. Уроки Шнабеля. – М.:Классика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,2008. - (Мастер - класс) +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Григорьев В. Ю. Исполнитель и эстрада. - М.:Классика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,2006. - (Мастер - класс)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исполнять импрессионистов - М.:Классика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-(Мастер - класс)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исполнять русскую фортепианную музыку. - М.:Классика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-(Мастер– класс)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Корыхалова Н. П. За вторым роялем : Работа над муз. Произведением в фп. классе. М.:Классика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,2006.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Мазель В. Музыкант и его руки: Кн. 2. Формирование оптимальной осанки.  –СПб.:Композитор,2005.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 урока до концерта: Фп.-пед. Альманах; Вып.1 - М.:Классика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-(Мастер- класс)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Рабинович Д. А. Исполнитель  и стиль. - М.:Классика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,2008. -(Мастер - класс)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Смирнова М. Работа над фортепианными сонатами Бетховена(на материалередакции Артура Шнабеля );Учебное пособие. – СПб Композитор,2012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Смирнова М. Работа над фортепианными сонатами Франца Шуберта(к проблеме исполнительской интерпретации): Учебное пособие. – С-Пб.: Композитор2012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11.УрокиГольденвейзера. - М.:Классика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-(Мастер - класс)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12.УрокиЗака. - М.:Классика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2009. - (Мастер - класс) +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13.Фортепианные вариации русских композиторов 18 - 19 веков М., Музыка, 2010.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Фортепианные этюды и упражнения, выпуск 1 зарубежных композиторов  20 век, «Композитор», С-Пб., 2010.</w:t>
      </w:r>
    </w:p>
    <w:p w:rsidR="00D5322A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15.Швейцер А.       Иоганн Себастьян Бах. Классика –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М., 2011</w:t>
      </w:r>
    </w:p>
    <w:p w:rsidR="00D34801" w:rsidRPr="00D34801" w:rsidRDefault="00D3480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22A" w:rsidRPr="00D34801" w:rsidRDefault="00D5322A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б) дополнительная методическая литература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Алексеев А.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Методика обучения игры на фортепиано М., 1978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Алексеев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Клавирное искусство. М., 1952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Баренбойм Л.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Музыкальная педагогика и исполнительство. Л., 1974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Баренбойм Л.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Путь к музицированию. Л., 1973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5.Бадура-СкодаЕ.П.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Моцарта М., 1972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6.Бейшлаг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Орнаментика в музыке. М., 1978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Бирмак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художественной технике пианиста. М., 1973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Браудо И.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Артикуляция. Л., 1973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9.Браудо И.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органной клавирной музыке. Л., 1976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Браудо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фортепианного исполнительства. Вып. 1.,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Браудо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фортепианного исполнительства. Вып. 4.,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Гинзбург Л.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работе над музыкальным произведением. И., 1968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Гофман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Фортепианная игра. Ответы на вопросы о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фортепианнойИгре. М., 1961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14.Калинина Н.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Клавирная музыка Баха в фортепианном классе Л.,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Коган Г.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врат мастерства. Работа пианиста. М., 1969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Кременштейн Б.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самостоятельности учащихся в классе </w:t>
      </w:r>
    </w:p>
    <w:p w:rsidR="00D5322A" w:rsidRPr="00D34801" w:rsidRDefault="00D5322A" w:rsidP="00D34801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фортепиано. М., 1966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17.Кременштейн 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Педагогика Г.Г. Нейгауза. М., 1984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18.Ландовска В.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музыке. М., 1991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19.Либерман Е.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 над фортепианной техникой. М., 1971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20.Либерман Е.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Творческая работа пианиста с авторским текстом. М.,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21.Мартинсен К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Индивидуальная фортепианная техника. М., 1966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22.Мартинсен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Методика индивидуального преподавания игры на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фортепиано. М., 1977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23.Мильштейн Я.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темперированный клавир И.С. Баха. М., 1967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24.Назфйкинский 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психологии музыкального восприятия. М., 1972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25.Нейгауз Г.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искусстве фортепианной игры. М., 1987</w:t>
      </w:r>
    </w:p>
    <w:p w:rsidR="00D5322A" w:rsidRPr="00D34801" w:rsidRDefault="00D5322A" w:rsidP="00D34801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26.Николаев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Некоторые вопросы развития фортепианной техники // Очерки 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методике обучения игры на фортепиано. Вып. 2. М., 1965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27.Ройзман Л.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работе над полифоническими произведениями И.С. Баха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Г.Ф. Генделя с учащимися пианистами // Очерки по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методике обучения игре на фортепиано. Вып. 2 М., 1965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28.Савшинский С.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Пианист и его работа. М., Л., 1961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29.Савшинский С.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пианиста над техникой. М., Л., 1968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30.Савшинский С.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и работа пианиста. М., Л., 1963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31.Теплов 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Психология музыкальных способностей//Проблема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индивидуальных различий. М., 1961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32.Фейгин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совершенствование музыканта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педагога. М.,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33.Фейгин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Индивидуальность ученика и искусство педагога. М.,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34.Фейнберг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Пианизм как искусство. М., 1969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22A" w:rsidRPr="00D34801" w:rsidRDefault="00D5322A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основная нотная литература</w:t>
      </w:r>
    </w:p>
    <w:p w:rsidR="00D5322A" w:rsidRPr="00D34801" w:rsidRDefault="00D5322A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Полифонические произведения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Бах И.С.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темперированный клавир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Бах И.С.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Английские сюиты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Бах И.С.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Французские сюиты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Бах И.С.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Бах И.С.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Токкаты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Бах И.С.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Органные сочинения в транскрипциях Ф. Бузони, Д.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Кабалевского, Ф. Листа, Г. Фейенберга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Бах И.С.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Хроматическая фантазия и фуга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Гендель Г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Сюиты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Губайдуллина С. 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Чакона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10.Полторацкий. В 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Прелюдии и фуги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11Хачатурян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Речитативы и фуга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12.Хиндемит П.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Ludustonalis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13.Шостакович Л. 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Прелюдии и фуги ор. 76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14.Щедрин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Прелюдии и фуги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15.Щедрин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Полифоническая тетрадь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16.Франк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Прелюдия, хорал и фуга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17.Франк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Прелюдия фуга и вариации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18.Шнитке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и фуга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19.Полифонические произведения русских авторов – Глинка М., Мясковский Н.,Лядов А., Римский – Корсаков Н. Чайковский П.</w:t>
      </w:r>
    </w:p>
    <w:p w:rsidR="00D5322A" w:rsidRPr="00D34801" w:rsidRDefault="00D5322A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крупной формы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Александров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bmoll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Александров А.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Аренский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Концерт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fmoll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Бабаджанян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Полифоническая сонатина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Банщиков Г.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№ 1, 2, 3, 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Барток 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Бах И.С.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Итальянский концерт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Бах И.С.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dmoll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fmoll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Edur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Ddur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cmoll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Бах И.К.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10.БахФ.Э.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11.Берг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Соната ор. 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12.Бетховен Л.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2, 3, 4, 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13.Бетховен Л.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(по выбору)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14.Бетховен Л.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Вариации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15.Брамс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1, 2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16.Брамс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 № 1, 2, 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17.Брамс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18.Вебер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Концертштюк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19.Вебер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№ 1, 2, 3 ,4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20.Гайдн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21.Гайдн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22.Галынин Г.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23.ГалынинГ.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Сонатная триада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24.Гершвин Д.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25.Гершвин Д.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Рапсодия в стиле блюза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26.Глазунов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27.Григ Э.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28.Григ Э.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Соната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emoll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29.Кабалевский Д.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1, 2, 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31.Караманов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2, 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№ 1, 2, 3, 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32.Клементи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33.Леденев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Соната памяти Прокофьева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34.Лист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35.Лист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Соната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hmoll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36.Лист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Соната по прочтении Данте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37,Лядов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Вариации на польскую тему ор. 51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38.Мак–ДуэллЭ.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39.Мак–ДуэллЭ.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№ 1, 2, 3, 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40.Мендельсон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41.Мендельсон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Серьезные вариации ор. 54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42.Мендельсон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 ор. 28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43.Метнер Н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44.Метнер Н.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45.Моцарт В.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46.Моцарт В.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47.Моцарт В.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Вариации, рондо, фантазии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48.Мясковский Н.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 № 1-7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2, 3, 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№ 1-7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51.Равель М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Gdur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52.Равель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Сонатина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53.Рахманинов С.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1, 2, 3, 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54.Рахманинов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Рапсодия на тему Паганини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55.Рахманинов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56.Рахманинов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Вариации на тему Корелли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57.Рубинштейн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1-5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58.Рубинштейн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 № 1-4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59.Ряэтс Я.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60.Ряэтс Я.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№ 1-6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61.Сен-Санс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1-5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62.Сен-Санс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Овернская рапсодия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63.Скарлатти Д.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64.Скрябин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Концерт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fismoll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65.Скрябин А.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66.Стравинский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для фортепиано и духовых инструментов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67.Стравинский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 № 1,2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68.Тактакишвили О.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69.Тищенко 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 № 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70.Тищенко 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№ 1- 6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71.Франк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Симфонические вариации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72.Франк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Симфоническая поэма Джинны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73.Хачатурян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74.ХиндемитП.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75.Хиндемит П.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 № 1, 2, 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76.Хренников Т.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77.Чайковский П.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78.Чайковский П.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Сонаты № 1, 2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79.Чайковский П.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 вариациями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 № 1, 2, 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Фантазия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fmoll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ор.49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Блестящие вариации ор. 12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84.Шостакович Д.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85.Шостакович Д.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86.Шнитке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Концерты № 1,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87.Шнитке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Вариации на один аккорд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88.Штраус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Бурлеска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89.Шуберт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Сонаты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90.Шуберт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Фантазия «Скиталец»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91.Шуберт Ф.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Вариации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92.Шуман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 ор. 17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93.Шуман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amoll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94.Шуман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Сонаты № 1, 2, 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95.Шуман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Вариации на тему Аве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gg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96.Шуман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Симфонические этюды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97.Щедрин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 № 1, 2, 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98.Шедрин Р.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Соната</w:t>
      </w:r>
    </w:p>
    <w:p w:rsidR="00D5322A" w:rsidRPr="00D34801" w:rsidRDefault="00D5322A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1.Балакирев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«Исламей» («Восточная фантазия»)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2.Барток 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Сюита ор. 14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3.Барток 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Багатели ор. 6, ор8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4.БартокБ.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Allegrobarbaro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5.БартокБ.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Румынские танцы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Бетховен Л.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Багатели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7.Брамс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рапсодии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8.Брамс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Интермеццо ор.117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9.Брамс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Пьесы ор. 76, ор. 116, ор 118, ор. 119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10.Брамс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баллады ор. 10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11.Брамс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венгерских танцев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12.Бриттен Б.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Каникулярный дневник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13.Вавилов Г.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 Баллад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14.Вавилов Г.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Зарисовки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15.Верди–Лист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Концертные парафразы «Риголетто», «Трубадур»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16.Гасанов Г.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прелюдии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17.Гершвин Д.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Три прелюдии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18.Глазунов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Поэмы импровизации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19.Дебюсси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Образы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20.Дебюсси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Прелюдии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21.Дебюсси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Остров Радости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22.Дебюсси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Детский уголок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23.ДебюссиК.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Сюита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Pourlepiano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24.Дебюсси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Эстампы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25.Дебюсси К.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Бергамасская сюита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26.Кодаи З.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 пьес ор. 3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27.Кюи Ц.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Сюита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28.Лист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Цикл «Годы странствия»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29.Лист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Венгерские рапсодии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30.Лист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баллады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31.Лист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Испанская рапсодия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32.Метнер Н.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«Сказки» ор. №№ 8, 9, 14, 20, 26, 34, 42, 48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33.Метнер Н.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«Забытые мотивы» ор.38, 39, 40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34.Метнер Н.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Элегии ор. 59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35.Метнер Н.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Новеллы ор 17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36.Прокофьев С.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Токката ор. 11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Сарказмы ор. 17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Мимолетности ор. 22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«Вещи в себе» ор. 45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«Мысли» ор. 62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 пьес из балета «Ромео и Джульетта» ор. 75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 пьесы из балета «Золушка» ор. 95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 пьес из балета «Золушка» ор. 97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44.Прокофьев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Пьесы ор. №№ 3, 4, 32, 52, 59, 96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45.Равель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«Ночные ведения»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46.Равель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 воды»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47.Равель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Благородные и сентиментальные вальсы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48.Равель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«Отражения»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49.Равель М.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Сюита «Могила Куперена»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50.Рахманинов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Музыкальные моменты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51.Рахманинов С.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Прелюдии ор. 23, ор. 32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52.Скрябин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Прелюдии ор. №№ 11, 13, 15, 16, 17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53.Скрябин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Поэмы ор. №№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32, 34, 36, 41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54.Скрябин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Мазурки ор. 3, ор. 25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55.Скрябин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Пьесы ор. 45, ор. 51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56.Скрябин А.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Фантазия ор. 28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57.Стравинский И.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Скерцо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58.Стравинский И.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фрагмента из балета «Петрушка»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59.Хиндемит П.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Сюита «1922» ор. 26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60.Чайковский П.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«Думка»ор. 59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61.Чайковский П.     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«Русское скерцо»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62.Шимановский К. 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«Маски» ор. 34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63.Шимановский К. 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64.Шимановский К. 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9 прелюдий 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65.Шимановский К.</w:t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Мазурки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Фантазия-экспромт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Баллады ор. 23, 38, 47, 52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Скерцо ор. 20, 31, 39, 54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Экспромты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Ноктюрны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Полонезы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Мазурки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Прелюдии ор. 28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Колыбельная ор. 57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75.Шопен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Баркарола ор. 60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76.Шостакович Д.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Прелюдии ор. 34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78.Шуберт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Музыкальные моменты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79.Шуберт Ф.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Экспромты ор. 90, ор. 142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«Карнавал» ор. 9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«Детские сцены» ор. 15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«Юмореска» ор. 20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Новеллетты ор. 21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Венский карнавал ор. 26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Фантастические пьесы ор. 12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сцены ор. 82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Пестрые листки ор. 99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Бабочки» ор. 2</w:t>
      </w:r>
    </w:p>
    <w:p w:rsidR="00D5322A" w:rsidRPr="00D34801" w:rsidRDefault="00D5322A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91.ШуманР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Интермеццо ор. 19</w:t>
      </w:r>
    </w:p>
    <w:p w:rsidR="00D5322A" w:rsidRPr="00D34801" w:rsidRDefault="00D5322A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Этюды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.ЛистФ.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 этюдов трансцендентного исполнения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.Лист Ф.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Этюды по каприсам Паганини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.Лист Ф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 концертных этюда (1848)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.Лист Ф.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концертных этюда («Шум леса», «Хоровод гномов»)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.Мендельсон Ф.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концертных этюда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.Мошковский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Этюды ор. 64, Испанский каприс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.Прокофьев С.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этюда ор. 2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.Рахманинов С.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2479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Этюды-картины ор. 33, ор. 39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.Скрябин А.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Этюды ор. 12, ор. 42, ор. 65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.Стравинский И.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этюда (1908)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.ШимановскийК.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этюдов</w:t>
      </w:r>
    </w:p>
    <w:p w:rsidR="00D5322A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.Шопен Ф.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Этюды ор. 10, ор. 25</w:t>
      </w:r>
    </w:p>
    <w:p w:rsidR="00F111C1" w:rsidRPr="00D34801" w:rsidRDefault="00F111C1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.Шуман Р.</w:t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CA8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5322A"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концертных этюдов по каприсам Паганини ор. 10</w:t>
      </w:r>
    </w:p>
    <w:p w:rsidR="007F1209" w:rsidRPr="00D34801" w:rsidRDefault="007F120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71E" w:rsidRPr="00D34801" w:rsidRDefault="0099471E" w:rsidP="00D34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программное обеспечение и Интернет-ресурсы:</w:t>
      </w:r>
    </w:p>
    <w:p w:rsidR="0099471E" w:rsidRPr="00D34801" w:rsidRDefault="0099471E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99471E" w:rsidRPr="00D34801" w:rsidRDefault="00E47783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1" w:history="1"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C62479" w:rsidRPr="00D34801" w:rsidRDefault="00E47783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2" w:history="1"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3" w:history="1"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4" w:history="1"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5" w:history="1"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6" w:history="1">
        <w:r w:rsidR="0099471E" w:rsidRPr="00D348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99471E" w:rsidRPr="00D348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99471E" w:rsidRPr="00D34801" w:rsidRDefault="0099471E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F59" w:rsidRDefault="00282F5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F59" w:rsidRDefault="00282F5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F59" w:rsidRDefault="00282F5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F59" w:rsidRDefault="00282F5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F59" w:rsidRDefault="00282F5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F59" w:rsidRDefault="00282F5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F59" w:rsidRDefault="00282F5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F59" w:rsidRPr="00D34801" w:rsidRDefault="00282F5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209" w:rsidRPr="00D34801" w:rsidRDefault="007F1209" w:rsidP="00D348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F03" w:rsidRPr="00636102" w:rsidRDefault="00720F03" w:rsidP="00720F0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720CA8" w:rsidRPr="00D34801" w:rsidRDefault="00720CA8" w:rsidP="00D348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CA8" w:rsidRPr="00D34801" w:rsidRDefault="00720CA8" w:rsidP="00D34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01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396663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D34801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720CA8" w:rsidRDefault="00720CA8" w:rsidP="00D348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F59" w:rsidRPr="00D34801" w:rsidRDefault="00282F59" w:rsidP="00D348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6663" w:rsidRPr="00C75CAB" w:rsidRDefault="00396663" w:rsidP="00396663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D855011" wp14:editId="3E5D6A8D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396663" w:rsidRPr="00C75CAB" w:rsidRDefault="00396663" w:rsidP="0039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396663" w:rsidRPr="00C75CAB" w:rsidRDefault="00396663" w:rsidP="0039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396663" w:rsidRPr="00C75CAB" w:rsidRDefault="00396663" w:rsidP="0039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396663" w:rsidRPr="00C75CAB" w:rsidRDefault="00396663" w:rsidP="00396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0CD7CEA" wp14:editId="063DE0BF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396663" w:rsidRPr="00C75CAB" w:rsidRDefault="00396663" w:rsidP="0039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396663" w:rsidRPr="00C75CAB" w:rsidRDefault="00396663" w:rsidP="0039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396663" w:rsidRPr="00C75CAB" w:rsidRDefault="00396663" w:rsidP="0039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EE3BAA9" wp14:editId="517C8C82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663" w:rsidRPr="00C75CAB" w:rsidRDefault="00396663" w:rsidP="003966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396663" w:rsidRPr="00C75CAB" w:rsidRDefault="00396663" w:rsidP="0039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396663" w:rsidRPr="00C75CAB" w:rsidRDefault="00396663" w:rsidP="00396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A11F01" w:rsidRPr="00D34801" w:rsidRDefault="00A11F01" w:rsidP="003966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11F01" w:rsidRPr="00D34801" w:rsidSect="00D34801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83" w:rsidRDefault="00E47783" w:rsidP="00D34801">
      <w:pPr>
        <w:spacing w:after="0" w:line="240" w:lineRule="auto"/>
      </w:pPr>
      <w:r>
        <w:separator/>
      </w:r>
    </w:p>
  </w:endnote>
  <w:endnote w:type="continuationSeparator" w:id="0">
    <w:p w:rsidR="00E47783" w:rsidRDefault="00E47783" w:rsidP="00D3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53"/>
      <w:docPartObj>
        <w:docPartGallery w:val="Page Numbers (Bottom of Page)"/>
        <w:docPartUnique/>
      </w:docPartObj>
    </w:sdtPr>
    <w:sdtEndPr/>
    <w:sdtContent>
      <w:p w:rsidR="00D34801" w:rsidRDefault="00796C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801" w:rsidRDefault="00D348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83" w:rsidRDefault="00E47783" w:rsidP="00D34801">
      <w:pPr>
        <w:spacing w:after="0" w:line="240" w:lineRule="auto"/>
      </w:pPr>
      <w:r>
        <w:separator/>
      </w:r>
    </w:p>
  </w:footnote>
  <w:footnote w:type="continuationSeparator" w:id="0">
    <w:p w:rsidR="00E47783" w:rsidRDefault="00E47783" w:rsidP="00D3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7D0F"/>
    <w:multiLevelType w:val="hybridMultilevel"/>
    <w:tmpl w:val="D6DC2F64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6"/>
    <w:rsid w:val="00071926"/>
    <w:rsid w:val="000A4A34"/>
    <w:rsid w:val="000A77E8"/>
    <w:rsid w:val="001622C9"/>
    <w:rsid w:val="001E65E9"/>
    <w:rsid w:val="00223D5E"/>
    <w:rsid w:val="00275FE1"/>
    <w:rsid w:val="00282F59"/>
    <w:rsid w:val="002A3244"/>
    <w:rsid w:val="002E4F9B"/>
    <w:rsid w:val="0036164A"/>
    <w:rsid w:val="00396663"/>
    <w:rsid w:val="003B0174"/>
    <w:rsid w:val="003F3F25"/>
    <w:rsid w:val="004A3994"/>
    <w:rsid w:val="004B7D78"/>
    <w:rsid w:val="005234E8"/>
    <w:rsid w:val="00575A2E"/>
    <w:rsid w:val="006515C2"/>
    <w:rsid w:val="00653045"/>
    <w:rsid w:val="00720CA8"/>
    <w:rsid w:val="00720F03"/>
    <w:rsid w:val="00741776"/>
    <w:rsid w:val="007604F5"/>
    <w:rsid w:val="00796CF7"/>
    <w:rsid w:val="007F1209"/>
    <w:rsid w:val="008608B6"/>
    <w:rsid w:val="008620D9"/>
    <w:rsid w:val="00877E73"/>
    <w:rsid w:val="008A3AF6"/>
    <w:rsid w:val="008C6704"/>
    <w:rsid w:val="008F604A"/>
    <w:rsid w:val="00936871"/>
    <w:rsid w:val="00944444"/>
    <w:rsid w:val="0099471E"/>
    <w:rsid w:val="00997D42"/>
    <w:rsid w:val="009F5F2E"/>
    <w:rsid w:val="00A00C1E"/>
    <w:rsid w:val="00A11F01"/>
    <w:rsid w:val="00A14766"/>
    <w:rsid w:val="00A219D0"/>
    <w:rsid w:val="00A2237E"/>
    <w:rsid w:val="00A265FD"/>
    <w:rsid w:val="00A67F5C"/>
    <w:rsid w:val="00AC5176"/>
    <w:rsid w:val="00BA2802"/>
    <w:rsid w:val="00BD6FE2"/>
    <w:rsid w:val="00C62479"/>
    <w:rsid w:val="00C92CA7"/>
    <w:rsid w:val="00C975F1"/>
    <w:rsid w:val="00CA27F8"/>
    <w:rsid w:val="00CB134A"/>
    <w:rsid w:val="00CB670C"/>
    <w:rsid w:val="00CF67F9"/>
    <w:rsid w:val="00D33B62"/>
    <w:rsid w:val="00D34801"/>
    <w:rsid w:val="00D35140"/>
    <w:rsid w:val="00D5322A"/>
    <w:rsid w:val="00D54B23"/>
    <w:rsid w:val="00D54E82"/>
    <w:rsid w:val="00D82C90"/>
    <w:rsid w:val="00E21EDC"/>
    <w:rsid w:val="00E47783"/>
    <w:rsid w:val="00F111C1"/>
    <w:rsid w:val="00F9446C"/>
    <w:rsid w:val="00FD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2A06"/>
  <w15:docId w15:val="{A202D263-E79A-46BC-919C-5C7369C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71E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8A3A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3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801"/>
  </w:style>
  <w:style w:type="paragraph" w:styleId="a7">
    <w:name w:val="footer"/>
    <w:basedOn w:val="a"/>
    <w:link w:val="a8"/>
    <w:uiPriority w:val="99"/>
    <w:unhideWhenUsed/>
    <w:rsid w:val="00D3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lassic.chubrik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aveclassics.ne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notoman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oclassic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tes.tarakanov.net/" TargetMode="External"/><Relationship Id="rId10" Type="http://schemas.openxmlformats.org/officeDocument/2006/relationships/hyperlink" Target="http://classic-online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mslp.org/" TargetMode="External"/><Relationship Id="rId14" Type="http://schemas.openxmlformats.org/officeDocument/2006/relationships/hyperlink" Target="http://classic-music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4</cp:revision>
  <dcterms:created xsi:type="dcterms:W3CDTF">2020-01-27T15:15:00Z</dcterms:created>
  <dcterms:modified xsi:type="dcterms:W3CDTF">2021-08-31T12:41:00Z</dcterms:modified>
</cp:coreProperties>
</file>